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430540" w:rsidRDefault="00CD4C7B" w:rsidP="00CD4C7B">
      <w:pPr>
        <w:pStyle w:val="Header"/>
        <w:tabs>
          <w:tab w:val="right" w:pos="9639"/>
        </w:tabs>
        <w:rPr>
          <w:bCs/>
          <w:i/>
          <w:noProof w:val="0"/>
          <w:sz w:val="24"/>
          <w:szCs w:val="24"/>
        </w:rPr>
      </w:pPr>
      <w:r w:rsidRPr="00430540">
        <w:rPr>
          <w:bCs/>
          <w:noProof w:val="0"/>
          <w:sz w:val="24"/>
          <w:szCs w:val="24"/>
        </w:rPr>
        <w:t>3GPP T</w:t>
      </w:r>
      <w:bookmarkStart w:id="0" w:name="_Ref452454252"/>
      <w:bookmarkEnd w:id="0"/>
      <w:r w:rsidRPr="00430540">
        <w:rPr>
          <w:bCs/>
          <w:noProof w:val="0"/>
          <w:sz w:val="24"/>
          <w:szCs w:val="24"/>
        </w:rPr>
        <w:t xml:space="preserve">SG-RAN </w:t>
      </w:r>
      <w:r w:rsidR="00936071" w:rsidRPr="00430540">
        <w:rPr>
          <w:noProof w:val="0"/>
          <w:sz w:val="24"/>
          <w:szCs w:val="24"/>
        </w:rPr>
        <w:t xml:space="preserve">WG2 </w:t>
      </w:r>
      <w:r w:rsidR="00902DB9" w:rsidRPr="00430540">
        <w:rPr>
          <w:noProof w:val="0"/>
          <w:sz w:val="24"/>
          <w:szCs w:val="24"/>
        </w:rPr>
        <w:t>Meeting #9</w:t>
      </w:r>
      <w:r w:rsidR="00AF6E24">
        <w:rPr>
          <w:noProof w:val="0"/>
          <w:sz w:val="24"/>
          <w:szCs w:val="24"/>
        </w:rPr>
        <w:t>8</w:t>
      </w:r>
      <w:r w:rsidRPr="00430540">
        <w:rPr>
          <w:bCs/>
          <w:noProof w:val="0"/>
          <w:sz w:val="24"/>
          <w:szCs w:val="24"/>
        </w:rPr>
        <w:tab/>
      </w:r>
      <w:r w:rsidRPr="00430540">
        <w:rPr>
          <w:rFonts w:hint="eastAsia"/>
          <w:bCs/>
          <w:noProof w:val="0"/>
          <w:sz w:val="24"/>
          <w:szCs w:val="24"/>
        </w:rPr>
        <w:t>R</w:t>
      </w:r>
      <w:r w:rsidRPr="00430540">
        <w:rPr>
          <w:bCs/>
          <w:noProof w:val="0"/>
          <w:sz w:val="24"/>
          <w:szCs w:val="24"/>
        </w:rPr>
        <w:t>2</w:t>
      </w:r>
      <w:r w:rsidRPr="00430540">
        <w:rPr>
          <w:rFonts w:hint="eastAsia"/>
          <w:bCs/>
          <w:noProof w:val="0"/>
          <w:sz w:val="24"/>
          <w:szCs w:val="24"/>
        </w:rPr>
        <w:t>-</w:t>
      </w:r>
      <w:r w:rsidR="00967F20" w:rsidRPr="00430540">
        <w:rPr>
          <w:bCs/>
          <w:noProof w:val="0"/>
          <w:sz w:val="24"/>
          <w:szCs w:val="24"/>
        </w:rPr>
        <w:t>17</w:t>
      </w:r>
      <w:r w:rsidR="00967F20">
        <w:rPr>
          <w:bCs/>
          <w:noProof w:val="0"/>
          <w:sz w:val="24"/>
          <w:szCs w:val="24"/>
        </w:rPr>
        <w:t>05448</w:t>
      </w:r>
    </w:p>
    <w:p w:rsidR="00CD4C7B" w:rsidRPr="00430540" w:rsidRDefault="00AF6E24" w:rsidP="00CD4C7B">
      <w:pPr>
        <w:pStyle w:val="Header"/>
        <w:tabs>
          <w:tab w:val="right" w:pos="9639"/>
        </w:tabs>
        <w:rPr>
          <w:bCs/>
          <w:noProof w:val="0"/>
          <w:sz w:val="24"/>
          <w:szCs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r>
        <w:rPr>
          <w:noProof w:val="0"/>
          <w:sz w:val="24"/>
          <w:szCs w:val="24"/>
          <w:lang w:eastAsia="zh-CN"/>
        </w:rPr>
        <w:tab/>
      </w:r>
      <w:r w:rsidRPr="005348EF">
        <w:rPr>
          <w:b w:val="0"/>
          <w:i/>
          <w:noProof w:val="0"/>
          <w:sz w:val="24"/>
          <w:szCs w:val="24"/>
          <w:lang w:eastAsia="zh-CN"/>
        </w:rPr>
        <w:t>Resubmission of R2-1703560</w:t>
      </w:r>
    </w:p>
    <w:p w:rsidR="00CD4C7B" w:rsidRPr="00430540" w:rsidRDefault="00CD4C7B" w:rsidP="00CD4C7B">
      <w:pPr>
        <w:pStyle w:val="Header"/>
        <w:rPr>
          <w:bCs/>
          <w:noProof w:val="0"/>
          <w:sz w:val="24"/>
        </w:rPr>
      </w:pPr>
    </w:p>
    <w:p w:rsidR="00CD4C7B" w:rsidRPr="00430540" w:rsidRDefault="00CD4C7B" w:rsidP="00CD4C7B">
      <w:pPr>
        <w:pStyle w:val="Header"/>
        <w:rPr>
          <w:bCs/>
          <w:noProof w:val="0"/>
          <w:sz w:val="24"/>
        </w:rPr>
      </w:pPr>
    </w:p>
    <w:p w:rsidR="00CD4C7B" w:rsidRPr="00430540" w:rsidRDefault="00CD4C7B" w:rsidP="00CD4C7B">
      <w:pPr>
        <w:pStyle w:val="CRCoverPage"/>
        <w:tabs>
          <w:tab w:val="left" w:pos="1985"/>
        </w:tabs>
        <w:rPr>
          <w:rFonts w:cs="Arial"/>
          <w:b/>
          <w:bCs/>
          <w:sz w:val="24"/>
          <w:lang w:eastAsia="ja-JP"/>
        </w:rPr>
      </w:pPr>
      <w:r w:rsidRPr="00430540">
        <w:rPr>
          <w:rFonts w:cs="Arial"/>
          <w:b/>
          <w:bCs/>
          <w:sz w:val="24"/>
        </w:rPr>
        <w:t>Agenda item:</w:t>
      </w:r>
      <w:r w:rsidRPr="00430540">
        <w:rPr>
          <w:rFonts w:cs="Arial"/>
          <w:b/>
          <w:bCs/>
          <w:sz w:val="24"/>
        </w:rPr>
        <w:tab/>
      </w:r>
      <w:r w:rsidR="007A4630">
        <w:rPr>
          <w:rFonts w:cs="Arial"/>
          <w:b/>
          <w:bCs/>
          <w:sz w:val="24"/>
          <w:lang w:eastAsia="ja-JP"/>
        </w:rPr>
        <w:t>10.</w:t>
      </w:r>
      <w:r w:rsidR="00C03E17">
        <w:rPr>
          <w:rFonts w:cs="Arial"/>
          <w:b/>
          <w:bCs/>
          <w:sz w:val="24"/>
          <w:lang w:eastAsia="ja-JP"/>
        </w:rPr>
        <w:t>2</w:t>
      </w:r>
      <w:r w:rsidR="007A4630">
        <w:rPr>
          <w:rFonts w:cs="Arial"/>
          <w:b/>
          <w:bCs/>
          <w:sz w:val="24"/>
          <w:lang w:eastAsia="ja-JP"/>
        </w:rPr>
        <w:t>.</w:t>
      </w:r>
      <w:r w:rsidR="005348EF">
        <w:rPr>
          <w:rFonts w:cs="Arial"/>
          <w:b/>
          <w:bCs/>
          <w:sz w:val="24"/>
          <w:lang w:eastAsia="ja-JP"/>
        </w:rPr>
        <w:t>1</w:t>
      </w:r>
      <w:r w:rsidR="007A4630">
        <w:rPr>
          <w:rFonts w:cs="Arial"/>
          <w:b/>
          <w:bCs/>
          <w:sz w:val="24"/>
          <w:lang w:eastAsia="ja-JP"/>
        </w:rPr>
        <w:t>3</w:t>
      </w:r>
    </w:p>
    <w:p w:rsidR="00CD4C7B" w:rsidRPr="00430540" w:rsidRDefault="00CD4C7B" w:rsidP="00CD4C7B">
      <w:pPr>
        <w:tabs>
          <w:tab w:val="left" w:pos="1985"/>
        </w:tabs>
        <w:ind w:left="1985" w:hanging="1985"/>
        <w:rPr>
          <w:rFonts w:ascii="Arial" w:hAnsi="Arial" w:cs="Arial"/>
          <w:b/>
          <w:bCs/>
          <w:sz w:val="24"/>
        </w:rPr>
      </w:pPr>
      <w:r w:rsidRPr="00430540">
        <w:rPr>
          <w:rFonts w:ascii="Arial" w:hAnsi="Arial" w:cs="Arial"/>
          <w:b/>
          <w:bCs/>
          <w:sz w:val="24"/>
        </w:rPr>
        <w:t>Source:</w:t>
      </w:r>
      <w:r w:rsidRPr="00430540">
        <w:rPr>
          <w:rFonts w:ascii="Arial" w:hAnsi="Arial" w:cs="Arial"/>
          <w:b/>
          <w:bCs/>
          <w:sz w:val="24"/>
        </w:rPr>
        <w:tab/>
      </w:r>
      <w:r w:rsidR="001741A0" w:rsidRPr="00430540">
        <w:rPr>
          <w:rFonts w:ascii="Arial" w:hAnsi="Arial" w:cs="Arial"/>
          <w:b/>
          <w:bCs/>
          <w:sz w:val="24"/>
        </w:rPr>
        <w:t>Nokia</w:t>
      </w:r>
      <w:r w:rsidR="00090468" w:rsidRPr="00430540">
        <w:rPr>
          <w:rFonts w:ascii="Arial" w:hAnsi="Arial" w:cs="Arial"/>
          <w:b/>
          <w:bCs/>
          <w:sz w:val="24"/>
        </w:rPr>
        <w:t>, Alcatel-Lucent Shanghai Bell</w:t>
      </w:r>
    </w:p>
    <w:p w:rsidR="00CD4C7B" w:rsidRPr="00430540" w:rsidRDefault="00CD4C7B" w:rsidP="00CD4C7B">
      <w:pPr>
        <w:ind w:left="1985" w:hanging="1985"/>
        <w:rPr>
          <w:rFonts w:ascii="Arial" w:hAnsi="Arial" w:cs="Arial"/>
          <w:b/>
          <w:bCs/>
          <w:sz w:val="24"/>
        </w:rPr>
      </w:pPr>
      <w:r w:rsidRPr="00430540">
        <w:rPr>
          <w:rFonts w:ascii="Arial" w:hAnsi="Arial" w:cs="Arial"/>
          <w:b/>
          <w:bCs/>
          <w:sz w:val="24"/>
        </w:rPr>
        <w:t>Title:</w:t>
      </w:r>
      <w:r w:rsidRPr="00430540">
        <w:rPr>
          <w:rFonts w:ascii="Arial" w:hAnsi="Arial" w:cs="Arial"/>
          <w:b/>
          <w:bCs/>
          <w:sz w:val="24"/>
        </w:rPr>
        <w:tab/>
      </w:r>
      <w:r w:rsidR="00EA41FD" w:rsidRPr="00430540">
        <w:rPr>
          <w:rFonts w:ascii="Arial" w:hAnsi="Arial" w:cs="Arial"/>
          <w:b/>
          <w:bCs/>
          <w:sz w:val="24"/>
        </w:rPr>
        <w:t>Activation of SCells in NG-RAN</w:t>
      </w:r>
    </w:p>
    <w:p w:rsidR="00CD4C7B" w:rsidRPr="00430540" w:rsidRDefault="00CD4C7B" w:rsidP="00CD4C7B">
      <w:pPr>
        <w:ind w:left="1985" w:hanging="1985"/>
        <w:rPr>
          <w:rFonts w:ascii="Arial" w:hAnsi="Arial" w:cs="Arial"/>
          <w:b/>
          <w:bCs/>
          <w:sz w:val="24"/>
        </w:rPr>
      </w:pPr>
      <w:r w:rsidRPr="00430540">
        <w:rPr>
          <w:rFonts w:ascii="Arial" w:hAnsi="Arial" w:cs="Arial"/>
          <w:b/>
          <w:bCs/>
          <w:sz w:val="24"/>
        </w:rPr>
        <w:t>WID/SID:</w:t>
      </w:r>
      <w:r w:rsidRPr="00430540">
        <w:rPr>
          <w:rFonts w:ascii="Arial" w:hAnsi="Arial" w:cs="Arial"/>
          <w:b/>
          <w:bCs/>
          <w:sz w:val="24"/>
        </w:rPr>
        <w:tab/>
      </w:r>
      <w:r w:rsidR="00B1503D" w:rsidRPr="00B1503D">
        <w:rPr>
          <w:rFonts w:ascii="Arial" w:hAnsi="Arial" w:cs="Arial"/>
          <w:b/>
          <w:bCs/>
          <w:sz w:val="24"/>
        </w:rPr>
        <w:t>NR_newRAT</w:t>
      </w:r>
      <w:r w:rsidR="00DC6472">
        <w:rPr>
          <w:rFonts w:ascii="Arial" w:hAnsi="Arial" w:cs="Arial"/>
          <w:b/>
          <w:bCs/>
          <w:sz w:val="24"/>
        </w:rPr>
        <w:t>-</w:t>
      </w:r>
      <w:r w:rsidR="002D15EF">
        <w:rPr>
          <w:rFonts w:ascii="Arial" w:hAnsi="Arial" w:cs="Arial"/>
          <w:b/>
          <w:bCs/>
          <w:sz w:val="24"/>
        </w:rPr>
        <w:t>C</w:t>
      </w:r>
      <w:bookmarkStart w:id="1" w:name="_GoBack"/>
      <w:bookmarkEnd w:id="1"/>
      <w:r w:rsidR="00DC6472">
        <w:rPr>
          <w:rFonts w:ascii="Arial" w:hAnsi="Arial" w:cs="Arial"/>
          <w:b/>
          <w:bCs/>
          <w:sz w:val="24"/>
        </w:rPr>
        <w:t>ore</w:t>
      </w:r>
      <w:r w:rsidRPr="00430540">
        <w:rPr>
          <w:rFonts w:ascii="Arial" w:hAnsi="Arial" w:cs="Arial"/>
          <w:b/>
          <w:bCs/>
          <w:sz w:val="24"/>
        </w:rPr>
        <w:t xml:space="preserve"> </w:t>
      </w:r>
      <w:r w:rsidR="00D80795" w:rsidRPr="00430540">
        <w:rPr>
          <w:rFonts w:ascii="Arial" w:hAnsi="Arial" w:cs="Arial"/>
          <w:b/>
          <w:bCs/>
          <w:sz w:val="24"/>
        </w:rPr>
        <w:t>-</w:t>
      </w:r>
      <w:r w:rsidRPr="00430540">
        <w:rPr>
          <w:rFonts w:ascii="Arial" w:hAnsi="Arial" w:cs="Arial"/>
          <w:b/>
          <w:bCs/>
          <w:sz w:val="24"/>
        </w:rPr>
        <w:t xml:space="preserve"> Release</w:t>
      </w:r>
      <w:r w:rsidR="00D80795" w:rsidRPr="00430540">
        <w:rPr>
          <w:rFonts w:ascii="Arial" w:hAnsi="Arial" w:cs="Arial"/>
          <w:b/>
          <w:bCs/>
          <w:sz w:val="24"/>
        </w:rPr>
        <w:t xml:space="preserve"> </w:t>
      </w:r>
      <w:r w:rsidR="009718D5" w:rsidRPr="00430540">
        <w:rPr>
          <w:rFonts w:ascii="Arial" w:hAnsi="Arial" w:cs="Arial"/>
          <w:b/>
          <w:bCs/>
          <w:sz w:val="24"/>
        </w:rPr>
        <w:t>15</w:t>
      </w:r>
    </w:p>
    <w:p w:rsidR="00CD4C7B" w:rsidRPr="00430540" w:rsidRDefault="00CD4C7B" w:rsidP="00CD4C7B">
      <w:pPr>
        <w:tabs>
          <w:tab w:val="left" w:pos="1985"/>
        </w:tabs>
        <w:rPr>
          <w:rFonts w:ascii="Arial" w:hAnsi="Arial" w:cs="Arial"/>
          <w:b/>
          <w:bCs/>
          <w:sz w:val="24"/>
        </w:rPr>
      </w:pPr>
      <w:r w:rsidRPr="00430540">
        <w:rPr>
          <w:rFonts w:ascii="Arial" w:hAnsi="Arial" w:cs="Arial"/>
          <w:b/>
          <w:bCs/>
          <w:sz w:val="24"/>
        </w:rPr>
        <w:t>Document for:</w:t>
      </w:r>
      <w:r w:rsidRPr="00430540">
        <w:rPr>
          <w:rFonts w:ascii="Arial" w:hAnsi="Arial" w:cs="Arial"/>
          <w:b/>
          <w:bCs/>
          <w:sz w:val="24"/>
        </w:rPr>
        <w:tab/>
        <w:t>Discussion and Decision</w:t>
      </w:r>
    </w:p>
    <w:p w:rsidR="00CD4C7B" w:rsidRPr="00430540" w:rsidRDefault="00CD4C7B" w:rsidP="00CD4C7B">
      <w:pPr>
        <w:pStyle w:val="Heading1"/>
      </w:pPr>
      <w:r w:rsidRPr="00430540">
        <w:t>1</w:t>
      </w:r>
      <w:r w:rsidRPr="00430540">
        <w:tab/>
      </w:r>
      <w:r w:rsidR="0056573F" w:rsidRPr="00430540">
        <w:t>Introduction</w:t>
      </w:r>
    </w:p>
    <w:p w:rsidR="00CD4C7B" w:rsidRPr="00430540" w:rsidRDefault="00EA41FD" w:rsidP="00CD4C7B">
      <w:r w:rsidRPr="00430540">
        <w:t>This contribution discusses how SCell activation should be</w:t>
      </w:r>
      <w:r w:rsidR="0056573F" w:rsidRPr="00430540">
        <w:t>.</w:t>
      </w:r>
    </w:p>
    <w:p w:rsidR="00CD4C7B" w:rsidRPr="00430540" w:rsidRDefault="00CD4C7B" w:rsidP="00CD4C7B">
      <w:pPr>
        <w:pStyle w:val="Heading1"/>
      </w:pPr>
      <w:r w:rsidRPr="00430540">
        <w:t>2</w:t>
      </w:r>
      <w:r w:rsidRPr="00430540">
        <w:tab/>
      </w:r>
      <w:r w:rsidR="00EA41FD" w:rsidRPr="00430540">
        <w:t>CA Baseline</w:t>
      </w:r>
    </w:p>
    <w:p w:rsidR="00EA41FD" w:rsidRPr="00430540" w:rsidRDefault="00EA41FD" w:rsidP="00EA41FD">
      <w:r w:rsidRPr="00430540">
        <w:t>Release 10 of the E-UTRA specifications introduces Carrier Aggregation (CA), where two or more component carriers (CCs) are aggregated in order to support wider transmission bandwidths up to 100MHz [</w:t>
      </w:r>
      <w:hyperlink r:id="rId7" w:history="1">
        <w:r w:rsidRPr="00430540">
          <w:rPr>
            <w:rStyle w:val="Hyperlink"/>
          </w:rPr>
          <w:t>36.300</w:t>
        </w:r>
      </w:hyperlink>
      <w:r w:rsidRPr="00430540">
        <w:t>].  In CA it is possible to configure a UE to aggregate a different number of CCs originating from the same eNB and of possibly different bandwidths in t</w:t>
      </w:r>
      <w:r w:rsidR="00CB7B74" w:rsidRPr="00430540">
        <w:t>he uplink and downlink</w:t>
      </w:r>
      <w:r w:rsidRPr="00430540">
        <w:t xml:space="preserve">. When in CA, a UE is always configured with a primary cell (PCell). The PCell is used for security, NAS mobility, transmission of PUCCH (including scheduling requests). All other configured CCs are called secondary cells (SCells) and do not have PUCCH configured. Furthermore, In CA, the possibility to de-activate CCs/SCells in order to reduce the UE power consumption is supported. The UE monitoring activity of a de-activated SCell is reduced (e.g. no PDCCH monitoring nor CQI measurements are performed) and the UL activity in a de-activated carrier is also stopped (no SRS). </w:t>
      </w:r>
      <w:r w:rsidRPr="00D5785D">
        <w:t>Note that the PCell, which carries PUCCH, cannot be deactivated</w:t>
      </w:r>
      <w:r w:rsidRPr="00430540">
        <w:t>.</w:t>
      </w:r>
    </w:p>
    <w:p w:rsidR="00CD4C7B" w:rsidRPr="00430540" w:rsidRDefault="00EA41FD" w:rsidP="00EA41FD">
      <w:pPr>
        <w:rPr>
          <w:lang w:eastAsia="zh-CN"/>
        </w:rPr>
      </w:pPr>
      <w:r w:rsidRPr="00430540">
        <w:rPr>
          <w:rFonts w:hint="eastAsia"/>
          <w:lang w:eastAsia="zh-CN"/>
        </w:rPr>
        <w:t xml:space="preserve">Delay requirement for activation a deactivated SCell is specified in </w:t>
      </w:r>
      <w:hyperlink r:id="rId8" w:history="1">
        <w:r w:rsidRPr="00430540">
          <w:rPr>
            <w:rStyle w:val="Hyperlink"/>
            <w:rFonts w:hint="eastAsia"/>
            <w:lang w:eastAsia="zh-CN"/>
          </w:rPr>
          <w:t>36.133</w:t>
        </w:r>
      </w:hyperlink>
      <w:r w:rsidRPr="00430540">
        <w:rPr>
          <w:rFonts w:hint="eastAsia"/>
          <w:lang w:eastAsia="zh-CN"/>
        </w:rPr>
        <w:t xml:space="preserve">: </w:t>
      </w:r>
      <w:r w:rsidRPr="00430540">
        <w:rPr>
          <w:lang w:eastAsia="zh-CN"/>
        </w:rPr>
        <w:t>the delay within which the UE shall be able to activate the deactivated SCell depends upon the specified conditions.</w:t>
      </w:r>
      <w:r w:rsidRPr="00430540">
        <w:rPr>
          <w:rFonts w:hint="eastAsia"/>
          <w:lang w:eastAsia="zh-CN"/>
        </w:rPr>
        <w:t xml:space="preserve"> </w:t>
      </w:r>
      <w:r w:rsidRPr="00430540">
        <w:rPr>
          <w:lang w:eastAsia="zh-CN"/>
        </w:rPr>
        <w:t>Upon receiving SCell activation command in subframe n, the UE shall be capable to transmit valid CSI report for the SCell being activated no later than in subframe n+24</w:t>
      </w:r>
      <w:r w:rsidRPr="00430540">
        <w:rPr>
          <w:rFonts w:hint="eastAsia"/>
          <w:lang w:eastAsia="zh-CN"/>
        </w:rPr>
        <w:t xml:space="preserve"> or n+34 depending on different conditions.</w:t>
      </w:r>
    </w:p>
    <w:p w:rsidR="00EA41FD" w:rsidRPr="00430540" w:rsidRDefault="00702AC1" w:rsidP="00EA41FD">
      <w:pPr>
        <w:rPr>
          <w:lang w:eastAsia="zh-CN"/>
        </w:rPr>
      </w:pPr>
      <w:r w:rsidRPr="00430540">
        <w:t xml:space="preserve">Dual PUCCH was introduced in Rel-13 </w:t>
      </w:r>
      <w:r w:rsidR="00214230" w:rsidRPr="00430540">
        <w:t>with which</w:t>
      </w:r>
      <w:r w:rsidRPr="00430540">
        <w:t xml:space="preserve"> one of the SCell(s) can be configured with PUCCH </w:t>
      </w:r>
      <w:r w:rsidR="00214230" w:rsidRPr="00430540">
        <w:t>and</w:t>
      </w:r>
      <w:r w:rsidRPr="00430540">
        <w:t xml:space="preserve"> UCI on other SCell(s) can be configured to be mapped to the PUCCH-SCell. SR can be configured on the PUCCH-SCell as well in addition to the SR on PCell</w:t>
      </w:r>
      <w:r w:rsidR="00EA41FD" w:rsidRPr="00430540">
        <w:t>.</w:t>
      </w:r>
    </w:p>
    <w:p w:rsidR="00EA41FD" w:rsidRPr="00430540" w:rsidRDefault="00EA41FD" w:rsidP="00EA41FD">
      <w:pPr>
        <w:rPr>
          <w:lang w:eastAsia="zh-CN"/>
        </w:rPr>
      </w:pPr>
      <w:r w:rsidRPr="00430540">
        <w:rPr>
          <w:lang w:eastAsia="zh-CN"/>
        </w:rPr>
        <w:t>Scenarios requiring SR to be configured on both PCell and SCell are motivated by SR load sharing and will result in having the SRs interleaved in the time domain: long SR periodicity on PCell and short one on SCell. In such scenarios, when SCell is deactivated, the UE would have no other choice but to wait for SR opportunity to occur on PCell. That would translate into delaying the data transfer as depicted on Figure 1 below.</w:t>
      </w:r>
    </w:p>
    <w:p w:rsidR="00EA41FD" w:rsidRPr="00430540" w:rsidRDefault="00EA41FD" w:rsidP="00EA41FD">
      <w:pPr>
        <w:rPr>
          <w:lang w:eastAsia="zh-CN"/>
        </w:rPr>
      </w:pPr>
      <w:r w:rsidRPr="00430540">
        <w:rPr>
          <w:b/>
          <w:lang w:eastAsia="zh-CN"/>
        </w:rPr>
        <w:t>Observation 1</w:t>
      </w:r>
      <w:r w:rsidRPr="00430540">
        <w:rPr>
          <w:lang w:eastAsia="zh-CN"/>
        </w:rPr>
        <w:t>: deactivated SCell introduces delay.</w:t>
      </w:r>
    </w:p>
    <w:p w:rsidR="00EA41FD" w:rsidRPr="00430540" w:rsidRDefault="00EA41FD" w:rsidP="00EA41FD">
      <w:pPr>
        <w:pStyle w:val="Caption"/>
        <w:jc w:val="center"/>
      </w:pPr>
      <w:r w:rsidRPr="00430540">
        <w:object w:dxaOrig="7515" w:dyaOrig="6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54.25pt" o:ole="">
            <v:imagedata r:id="rId9" o:title=""/>
          </v:shape>
          <o:OLEObject Type="Embed" ProgID="Visio.Drawing.15" ShapeID="_x0000_i1025" DrawAspect="Content" ObjectID="_1555534515" r:id="rId10"/>
        </w:object>
      </w:r>
    </w:p>
    <w:p w:rsidR="00EA41FD" w:rsidRPr="00430540" w:rsidRDefault="00CB7B74" w:rsidP="00EA41FD">
      <w:pPr>
        <w:pStyle w:val="TF"/>
      </w:pPr>
      <w:r w:rsidRPr="00430540">
        <w:t>Figure 1:</w:t>
      </w:r>
      <w:r w:rsidR="00EA41FD" w:rsidRPr="00430540">
        <w:t xml:space="preserve"> Current SR operation when SCell is deactivated when UL data arrives</w:t>
      </w:r>
    </w:p>
    <w:p w:rsidR="00EA41FD" w:rsidRPr="00430540" w:rsidRDefault="00EA41FD" w:rsidP="00EA41FD"/>
    <w:p w:rsidR="00CD4C7B" w:rsidRPr="00430540" w:rsidRDefault="00CD4C7B" w:rsidP="00CD4C7B">
      <w:pPr>
        <w:pStyle w:val="Heading1"/>
      </w:pPr>
      <w:r w:rsidRPr="00430540">
        <w:t>3</w:t>
      </w:r>
      <w:r w:rsidRPr="00430540">
        <w:tab/>
      </w:r>
      <w:r w:rsidR="00EA41FD" w:rsidRPr="00430540">
        <w:t>Activation in NG-RAN</w:t>
      </w:r>
    </w:p>
    <w:p w:rsidR="00917AAA" w:rsidRDefault="00702AC1" w:rsidP="00EA41FD">
      <w:r w:rsidRPr="00430540">
        <w:rPr>
          <w:rFonts w:hint="eastAsia"/>
        </w:rPr>
        <w:t>W</w:t>
      </w:r>
      <w:r w:rsidRPr="00430540">
        <w:t xml:space="preserve">ith higher data rate for eMBB to be supported in NR </w:t>
      </w:r>
      <w:r w:rsidR="00214230" w:rsidRPr="00430540">
        <w:t>as well as</w:t>
      </w:r>
      <w:r w:rsidRPr="00430540">
        <w:t xml:space="preserve"> lower delay requirement for URLLC, it is beneficial to consider faster SCell activation than LTE</w:t>
      </w:r>
      <w:r w:rsidR="0068751D" w:rsidRPr="00430540">
        <w:t xml:space="preserve">. </w:t>
      </w:r>
      <w:r w:rsidR="00EA41FD" w:rsidRPr="00430540">
        <w:t>One possibility to reduce delays</w:t>
      </w:r>
      <w:r w:rsidR="00B1503D">
        <w:t xml:space="preserve"> for UL data</w:t>
      </w:r>
      <w:r w:rsidR="00EA41FD" w:rsidRPr="00430540">
        <w:t xml:space="preserve"> </w:t>
      </w:r>
      <w:r w:rsidR="00917AAA">
        <w:t xml:space="preserve">is to configure SR and/or RA resources to SCells and allow UE to send SR directly to SCell(s) even if the SCells were deactivated. </w:t>
      </w:r>
      <w:r w:rsidR="00B1503D">
        <w:t xml:space="preserve">SR or RA resources interlaced in several cells would reduce the delays further. </w:t>
      </w:r>
      <w:r w:rsidR="00917AAA">
        <w:t>By sending an SR to a deactivated SCell, UE would indicate that it is ready to monitor PDCCH and receive UL grants in that SCell.</w:t>
      </w:r>
      <w:r w:rsidR="00B1503D">
        <w:t xml:space="preserve"> </w:t>
      </w:r>
    </w:p>
    <w:p w:rsidR="00CD4C7B" w:rsidRPr="00430540" w:rsidRDefault="00CB7B74" w:rsidP="00CB7B74">
      <w:r w:rsidRPr="00430540">
        <w:rPr>
          <w:b/>
        </w:rPr>
        <w:t>Proposal 1</w:t>
      </w:r>
      <w:r w:rsidRPr="00430540">
        <w:t>: allow UE-based activation of SCells</w:t>
      </w:r>
      <w:r w:rsidR="00D5785D">
        <w:t xml:space="preserve"> for UL data</w:t>
      </w:r>
      <w:r w:rsidRPr="00430540">
        <w:t>.</w:t>
      </w:r>
    </w:p>
    <w:p w:rsidR="00CD4C7B" w:rsidRPr="00430540" w:rsidRDefault="00CD4C7B" w:rsidP="00CD4C7B">
      <w:pPr>
        <w:pStyle w:val="Heading1"/>
      </w:pPr>
      <w:r w:rsidRPr="00430540">
        <w:t>4</w:t>
      </w:r>
      <w:r w:rsidRPr="00430540">
        <w:tab/>
      </w:r>
      <w:r w:rsidR="00430540" w:rsidRPr="00430540">
        <w:t>Conclusion</w:t>
      </w:r>
    </w:p>
    <w:p w:rsidR="00D5785D" w:rsidRPr="00D5785D" w:rsidRDefault="00D5785D" w:rsidP="00D5785D">
      <w:pPr>
        <w:rPr>
          <w:lang w:eastAsia="zh-CN"/>
        </w:rPr>
      </w:pPr>
      <w:r w:rsidRPr="00D5785D">
        <w:rPr>
          <w:lang w:eastAsia="zh-CN"/>
        </w:rPr>
        <w:t>We make the following observation:</w:t>
      </w:r>
    </w:p>
    <w:p w:rsidR="00D5785D" w:rsidRPr="00430540" w:rsidRDefault="00D5785D" w:rsidP="00D5785D">
      <w:pPr>
        <w:rPr>
          <w:lang w:eastAsia="zh-CN"/>
        </w:rPr>
      </w:pPr>
      <w:r w:rsidRPr="00430540">
        <w:rPr>
          <w:b/>
          <w:lang w:eastAsia="zh-CN"/>
        </w:rPr>
        <w:t>Observation 1</w:t>
      </w:r>
      <w:r w:rsidRPr="00430540">
        <w:rPr>
          <w:lang w:eastAsia="zh-CN"/>
        </w:rPr>
        <w:t>: deactivated SCell introduces delay.</w:t>
      </w:r>
    </w:p>
    <w:p w:rsidR="00CD4C7B" w:rsidRPr="00430540" w:rsidRDefault="00CB7B74" w:rsidP="00CD4C7B">
      <w:r w:rsidRPr="00430540">
        <w:t>In order to reduce latency in NG-RAN</w:t>
      </w:r>
      <w:r w:rsidR="00B1503D">
        <w:t>, especially for UL data</w:t>
      </w:r>
      <w:r w:rsidRPr="00430540">
        <w:t>, the following proposal was made:</w:t>
      </w:r>
    </w:p>
    <w:p w:rsidR="00CB7B74" w:rsidRPr="006E13D1" w:rsidRDefault="00CB7B74" w:rsidP="00CD4C7B">
      <w:r w:rsidRPr="00430540">
        <w:rPr>
          <w:b/>
        </w:rPr>
        <w:t>Proposal 1</w:t>
      </w:r>
      <w:r w:rsidRPr="00430540">
        <w:t>: allow UE-based activation of SCells</w:t>
      </w:r>
      <w:r w:rsidR="00D5785D">
        <w:t xml:space="preserve"> for UL data</w:t>
      </w:r>
      <w:r w:rsidRPr="00430540">
        <w:t>.</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D82" w:rsidRDefault="00520D82">
      <w:r>
        <w:separator/>
      </w:r>
    </w:p>
  </w:endnote>
  <w:endnote w:type="continuationSeparator" w:id="0">
    <w:p w:rsidR="00520D82" w:rsidRDefault="0052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D82" w:rsidRDefault="00520D82">
      <w:r>
        <w:separator/>
      </w:r>
    </w:p>
  </w:footnote>
  <w:footnote w:type="continuationSeparator" w:id="0">
    <w:p w:rsidR="00520D82" w:rsidRDefault="00520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392"/>
    <w:rsid w:val="00080512"/>
    <w:rsid w:val="00090468"/>
    <w:rsid w:val="000B7BCF"/>
    <w:rsid w:val="000C522B"/>
    <w:rsid w:val="000D58AB"/>
    <w:rsid w:val="00141AC3"/>
    <w:rsid w:val="00145075"/>
    <w:rsid w:val="001673AA"/>
    <w:rsid w:val="001741A0"/>
    <w:rsid w:val="00194CD0"/>
    <w:rsid w:val="001B49C9"/>
    <w:rsid w:val="001F168B"/>
    <w:rsid w:val="001F7831"/>
    <w:rsid w:val="00203D89"/>
    <w:rsid w:val="00204045"/>
    <w:rsid w:val="00214230"/>
    <w:rsid w:val="0022606D"/>
    <w:rsid w:val="002747EC"/>
    <w:rsid w:val="002855BF"/>
    <w:rsid w:val="002D15EF"/>
    <w:rsid w:val="002F0D22"/>
    <w:rsid w:val="003172DC"/>
    <w:rsid w:val="00326069"/>
    <w:rsid w:val="00331221"/>
    <w:rsid w:val="0035462D"/>
    <w:rsid w:val="003B40AD"/>
    <w:rsid w:val="003C4E37"/>
    <w:rsid w:val="003E16BE"/>
    <w:rsid w:val="00401855"/>
    <w:rsid w:val="004175B4"/>
    <w:rsid w:val="00430540"/>
    <w:rsid w:val="00477455"/>
    <w:rsid w:val="00494AF1"/>
    <w:rsid w:val="004D3578"/>
    <w:rsid w:val="004D380D"/>
    <w:rsid w:val="004E213A"/>
    <w:rsid w:val="00503171"/>
    <w:rsid w:val="00506C28"/>
    <w:rsid w:val="00520D82"/>
    <w:rsid w:val="005348EF"/>
    <w:rsid w:val="00534DA0"/>
    <w:rsid w:val="00543E6C"/>
    <w:rsid w:val="00565087"/>
    <w:rsid w:val="0056573F"/>
    <w:rsid w:val="0061108E"/>
    <w:rsid w:val="00611566"/>
    <w:rsid w:val="00646D99"/>
    <w:rsid w:val="00656910"/>
    <w:rsid w:val="0068751D"/>
    <w:rsid w:val="006C66D8"/>
    <w:rsid w:val="006D1E24"/>
    <w:rsid w:val="006E1417"/>
    <w:rsid w:val="006F6A2C"/>
    <w:rsid w:val="00702AC1"/>
    <w:rsid w:val="00734A5B"/>
    <w:rsid w:val="00744E76"/>
    <w:rsid w:val="00757D40"/>
    <w:rsid w:val="00781F0F"/>
    <w:rsid w:val="0078727C"/>
    <w:rsid w:val="0079049D"/>
    <w:rsid w:val="007A4630"/>
    <w:rsid w:val="007B18D8"/>
    <w:rsid w:val="007C095F"/>
    <w:rsid w:val="008028A4"/>
    <w:rsid w:val="00813245"/>
    <w:rsid w:val="008768CA"/>
    <w:rsid w:val="00877EF9"/>
    <w:rsid w:val="00880559"/>
    <w:rsid w:val="008B5306"/>
    <w:rsid w:val="008D7E15"/>
    <w:rsid w:val="0090271F"/>
    <w:rsid w:val="00902DB9"/>
    <w:rsid w:val="0090466A"/>
    <w:rsid w:val="00917AAA"/>
    <w:rsid w:val="00936071"/>
    <w:rsid w:val="00940212"/>
    <w:rsid w:val="00942EC2"/>
    <w:rsid w:val="00961B32"/>
    <w:rsid w:val="00967F20"/>
    <w:rsid w:val="009718D5"/>
    <w:rsid w:val="00974BB0"/>
    <w:rsid w:val="009A0AF3"/>
    <w:rsid w:val="009B07CD"/>
    <w:rsid w:val="009C19E9"/>
    <w:rsid w:val="00A10F02"/>
    <w:rsid w:val="00A204CA"/>
    <w:rsid w:val="00A53724"/>
    <w:rsid w:val="00A82346"/>
    <w:rsid w:val="00A9671C"/>
    <w:rsid w:val="00AA1553"/>
    <w:rsid w:val="00AF6E24"/>
    <w:rsid w:val="00B1503D"/>
    <w:rsid w:val="00B15449"/>
    <w:rsid w:val="00B268B4"/>
    <w:rsid w:val="00B40105"/>
    <w:rsid w:val="00B47FD1"/>
    <w:rsid w:val="00B516BB"/>
    <w:rsid w:val="00BD759F"/>
    <w:rsid w:val="00C03E17"/>
    <w:rsid w:val="00C12B51"/>
    <w:rsid w:val="00C24650"/>
    <w:rsid w:val="00C33079"/>
    <w:rsid w:val="00C83A13"/>
    <w:rsid w:val="00C92967"/>
    <w:rsid w:val="00CA3D0C"/>
    <w:rsid w:val="00CA654B"/>
    <w:rsid w:val="00CB7B74"/>
    <w:rsid w:val="00CD4C7B"/>
    <w:rsid w:val="00D447BB"/>
    <w:rsid w:val="00D5785D"/>
    <w:rsid w:val="00D738D6"/>
    <w:rsid w:val="00D80795"/>
    <w:rsid w:val="00D87E00"/>
    <w:rsid w:val="00D9134D"/>
    <w:rsid w:val="00D96D11"/>
    <w:rsid w:val="00DA7021"/>
    <w:rsid w:val="00DA7A03"/>
    <w:rsid w:val="00DB1818"/>
    <w:rsid w:val="00DC309B"/>
    <w:rsid w:val="00DC4DA2"/>
    <w:rsid w:val="00DC6472"/>
    <w:rsid w:val="00E62835"/>
    <w:rsid w:val="00E77645"/>
    <w:rsid w:val="00E83697"/>
    <w:rsid w:val="00EA41FD"/>
    <w:rsid w:val="00EC4A25"/>
    <w:rsid w:val="00F025A2"/>
    <w:rsid w:val="00F07388"/>
    <w:rsid w:val="00F2026E"/>
    <w:rsid w:val="00F2210A"/>
    <w:rsid w:val="00F37743"/>
    <w:rsid w:val="00F54A3D"/>
    <w:rsid w:val="00F653B8"/>
    <w:rsid w:val="00F71B89"/>
    <w:rsid w:val="00F7353C"/>
    <w:rsid w:val="00F76F8F"/>
    <w:rsid w:val="00F77D2C"/>
    <w:rsid w:val="00FA1266"/>
    <w:rsid w:val="00FC1192"/>
    <w:rsid w:val="00FC4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A253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EA41F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EA41FD"/>
    <w:rPr>
      <w:b/>
      <w:lang w:eastAsia="ja-JP"/>
    </w:rPr>
  </w:style>
  <w:style w:type="character" w:styleId="CommentReference">
    <w:name w:val="annotation reference"/>
    <w:basedOn w:val="DefaultParagraphFont"/>
    <w:rsid w:val="00D447BB"/>
    <w:rPr>
      <w:sz w:val="21"/>
      <w:szCs w:val="21"/>
    </w:rPr>
  </w:style>
  <w:style w:type="paragraph" w:styleId="CommentText">
    <w:name w:val="annotation text"/>
    <w:basedOn w:val="Normal"/>
    <w:link w:val="CommentTextChar"/>
    <w:rsid w:val="00D447BB"/>
  </w:style>
  <w:style w:type="character" w:customStyle="1" w:styleId="CommentTextChar">
    <w:name w:val="Comment Text Char"/>
    <w:basedOn w:val="DefaultParagraphFont"/>
    <w:link w:val="CommentText"/>
    <w:rsid w:val="00D447BB"/>
    <w:rPr>
      <w:lang w:eastAsia="en-US"/>
    </w:rPr>
  </w:style>
  <w:style w:type="paragraph" w:styleId="CommentSubject">
    <w:name w:val="annotation subject"/>
    <w:basedOn w:val="CommentText"/>
    <w:next w:val="CommentText"/>
    <w:link w:val="CommentSubjectChar"/>
    <w:rsid w:val="00D447BB"/>
    <w:rPr>
      <w:b/>
      <w:bCs/>
    </w:rPr>
  </w:style>
  <w:style w:type="character" w:customStyle="1" w:styleId="CommentSubjectChar">
    <w:name w:val="Comment Subject Char"/>
    <w:basedOn w:val="CommentTextChar"/>
    <w:link w:val="CommentSubject"/>
    <w:rsid w:val="00D447BB"/>
    <w:rPr>
      <w:b/>
      <w:bCs/>
      <w:lang w:eastAsia="en-US"/>
    </w:rPr>
  </w:style>
  <w:style w:type="paragraph" w:styleId="BalloonText">
    <w:name w:val="Balloon Text"/>
    <w:basedOn w:val="Normal"/>
    <w:link w:val="BalloonTextChar"/>
    <w:rsid w:val="00D447BB"/>
    <w:pPr>
      <w:spacing w:after="0"/>
    </w:pPr>
    <w:rPr>
      <w:sz w:val="18"/>
      <w:szCs w:val="18"/>
    </w:rPr>
  </w:style>
  <w:style w:type="character" w:customStyle="1" w:styleId="BalloonTextChar">
    <w:name w:val="Balloon Text Char"/>
    <w:basedOn w:val="DefaultParagraphFont"/>
    <w:link w:val="BalloonText"/>
    <w:rsid w:val="00D447BB"/>
    <w:rPr>
      <w:sz w:val="18"/>
      <w:szCs w:val="18"/>
      <w:lang w:eastAsia="en-US"/>
    </w:rPr>
  </w:style>
  <w:style w:type="paragraph" w:styleId="Revision">
    <w:name w:val="Revision"/>
    <w:hidden/>
    <w:uiPriority w:val="99"/>
    <w:semiHidden/>
    <w:rsid w:val="00D447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6133.htm" TargetMode="External"/><Relationship Id="rId3" Type="http://schemas.openxmlformats.org/officeDocument/2006/relationships/settings" Target="settings.xml"/><Relationship Id="rId7" Type="http://schemas.openxmlformats.org/officeDocument/2006/relationships/hyperlink" Target="http://www.3gpp.org/ftp/Specs/html-info/363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402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3</cp:revision>
  <dcterms:created xsi:type="dcterms:W3CDTF">2017-05-05T20:00:00Z</dcterms:created>
  <dcterms:modified xsi:type="dcterms:W3CDTF">2017-05-05T21:05:00Z</dcterms:modified>
</cp:coreProperties>
</file>